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A7018" w:rsidRDefault="00700423">
      <w:pPr>
        <w:tabs>
          <w:tab w:val="left" w:pos="8080"/>
        </w:tabs>
        <w:jc w:val="right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7620</wp:posOffset>
                </wp:positionH>
                <wp:positionV relativeFrom="page">
                  <wp:posOffset>546735</wp:posOffset>
                </wp:positionV>
                <wp:extent cx="7531100" cy="1955165"/>
                <wp:effectExtent l="0" t="0" r="0" b="0"/>
                <wp:wrapNone/>
                <wp:docPr id="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7531099" cy="19551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A7018" w:rsidRDefault="00700423">
                            <w:pPr>
                              <w:pStyle w:val="a3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18832" cy="646265"/>
                                  <wp:effectExtent l="0" t="0" r="0" b="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60661800" name="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8832" cy="6462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A7018" w:rsidRDefault="00700423">
                            <w:pPr>
                              <w:pStyle w:val="17"/>
                              <w:spacing w:line="360" w:lineRule="auto"/>
                              <w:jc w:val="center"/>
                              <w:rPr>
                                <w:color w:val="auto"/>
                                <w:sz w:val="36"/>
                              </w:rPr>
                            </w:pPr>
                            <w:r>
                              <w:rPr>
                                <w:color w:val="auto"/>
                                <w:sz w:val="36"/>
                              </w:rPr>
                              <w:t xml:space="preserve">Пермская городская Дума </w:t>
                            </w:r>
                            <w:r>
                              <w:rPr>
                                <w:color w:val="auto"/>
                                <w:sz w:val="36"/>
                                <w:lang w:val="en-US"/>
                              </w:rPr>
                              <w:t>VII</w:t>
                            </w:r>
                            <w:r>
                              <w:rPr>
                                <w:color w:val="auto"/>
                                <w:sz w:val="36"/>
                              </w:rPr>
                              <w:t xml:space="preserve"> созыва</w:t>
                            </w:r>
                          </w:p>
                          <w:p w:rsidR="00AA7018" w:rsidRDefault="00700423">
                            <w:pPr>
                              <w:widowControl w:val="0"/>
                              <w:spacing w:after="960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Р Е Ш Е Н И Е</w:t>
                            </w:r>
                          </w:p>
                          <w:p w:rsidR="00AA7018" w:rsidRDefault="00AA7018">
                            <w:pPr>
                              <w:widowControl w:val="0"/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:rsidR="00AA7018" w:rsidRDefault="00AA7018">
                            <w:pPr>
                              <w:widowControl w:val="0"/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:rsidR="00AA7018" w:rsidRDefault="00AA7018">
                            <w:pPr>
                              <w:widowControl w:val="0"/>
                              <w:jc w:val="center"/>
                              <w:rPr>
                                <w:szCs w:val="28"/>
                              </w:rPr>
                            </w:pPr>
                          </w:p>
                          <w:p w:rsidR="00AA7018" w:rsidRDefault="00AA7018">
                            <w:pPr>
                              <w:widowControl w:val="0"/>
                              <w:jc w:val="center"/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 xmlns:a="http://schemas.openxmlformats.org/drawingml/2006/main" xmlns:w15="http://schemas.microsoft.com/office/word/2012/wordml">
            <w:pict>
              <v:shape id="shape 1" o:spid="_x0000_s1" o:spt="202" type="#_x0000_t202" style="position:absolute;z-index:251659264;o:allowoverlap:true;o:allowincell:true;mso-position-horizontal-relative:page;margin-left:0.60pt;mso-position-horizontal:absolute;mso-position-vertical-relative:page;margin-top:43.05pt;mso-position-vertical:absolute;width:593.00pt;height:153.95pt;mso-wrap-distance-left:9.00pt;mso-wrap-distance-top:0.00pt;mso-wrap-distance-right:9.00pt;mso-wrap-distance-bottom:0.00pt;visibility:visible;" fillcolor="#FFFFFF" stroked="f">
                <v:textbox inset="0,0,0,0">
                  <w:txbxContent>
                    <w:p>
                      <w:pPr>
                        <w:pStyle w:val="42"/>
                        <w:jc w:val="center"/>
                        <w:rPr>
                          <w:lang w:val="en-US"/>
                        </w:rPr>
                      </w:pPr>
                      <w:r/>
                      <w:r>
                        <mc:AlternateContent>
                          <mc:Choice Requires="wpg">
                            <w:drawing>
                              <wp:inline xmlns:wp="http://schemas.openxmlformats.org/drawingml/2006/wordprocessingDrawing" distT="0" distB="0" distL="0" distR="0">
                                <wp:extent cx="518832" cy="646265"/>
                                <wp:effectExtent l="0" t="0" r="0" b="0"/>
                                <wp:docPr id="2" name="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60661800" name=""/>
                                        <pic:cNvPicPr>
                                          <a:picLocks noChangeAspect="1"/>
                                        </pic:cNvPicPr>
                                        <pic:nvPr/>
                                      </pic:nvPicPr>
                                      <pic:blipFill>
                                        <a:blip r:embed="rId12"/>
                                        <a:stretch/>
                                      </pic:blipFill>
                                      <pic:spPr bwMode="auto">
                                        <a:xfrm rot="0" flipH="0" flipV="0">
                                          <a:off x="0" y="0"/>
                                          <a:ext cx="518832" cy="64626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shapetype type="#_x0000_t75" o:spt="75" coordsize="21600,21600" o:preferrelative="t" path="m@4@5l@4@11@9@11@9@5xe"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</v:shapetype>
                              <v:shape id="_x0000_i0" o:spid="_x0000_s0" type="#_x0000_t75" style="width:40.85pt;height:50.89pt;mso-wrap-distance-left:0.00pt;mso-wrap-distance-top:0.00pt;mso-wrap-distance-right:0.00pt;mso-wrap-distance-bottom:0.00pt;rotation:0;" stroked="false">
                                <v:path textboxrect="0,0,0,0"/>
                                <v:imagedata r:id="rId12" o:title=""/>
                              </v:shape>
                            </w:pict>
                          </mc:Fallback>
                        </mc:AlternateContent>
                      </w:r>
                      <w:r/>
                      <w:r/>
                      <w:r>
                        <w:rPr>
                          <w:lang w:val="en-US"/>
                        </w:rPr>
                      </w:r>
                      <w:r>
                        <w:rPr>
                          <w:lang w:val="en-US"/>
                        </w:rPr>
                      </w:r>
                    </w:p>
                    <w:p>
                      <w:pPr>
                        <w:pStyle w:val="734"/>
                        <w:jc w:val="center"/>
                        <w:spacing w:line="360" w:lineRule="auto"/>
                        <w:rPr>
                          <w:rFonts w:ascii="Times New Roman" w:hAnsi="Times New Roman"/>
                          <w:b/>
                          <w:i w:val="0"/>
                          <w:color w:val="auto"/>
                          <w:sz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i w:val="0"/>
                          <w:color w:val="auto"/>
                          <w:sz w:val="36"/>
                        </w:rPr>
                        <w:t xml:space="preserve">Пермская городская Дума </w:t>
                      </w:r>
                      <w:r>
                        <w:rPr>
                          <w:rFonts w:ascii="Times New Roman" w:hAnsi="Times New Roman"/>
                          <w:b/>
                          <w:i w:val="0"/>
                          <w:color w:val="auto"/>
                          <w:sz w:val="36"/>
                          <w:lang w:val="en-US"/>
                        </w:rPr>
                        <w:t xml:space="preserve">VII</w:t>
                      </w:r>
                      <w:r>
                        <w:rPr>
                          <w:rFonts w:ascii="Times New Roman" w:hAnsi="Times New Roman"/>
                          <w:b/>
                          <w:i w:val="0"/>
                          <w:color w:val="auto"/>
                          <w:sz w:val="36"/>
                        </w:rPr>
                        <w:t xml:space="preserve"> созыва</w:t>
                      </w:r>
                      <w:r>
                        <w:rPr>
                          <w:rFonts w:ascii="Times New Roman" w:hAnsi="Times New Roman"/>
                          <w:b/>
                          <w:i w:val="0"/>
                          <w:color w:val="auto"/>
                          <w:sz w:val="36"/>
                        </w:rPr>
                      </w:r>
                      <w:r>
                        <w:rPr>
                          <w:rFonts w:ascii="Times New Roman" w:hAnsi="Times New Roman"/>
                          <w:b/>
                          <w:i w:val="0"/>
                          <w:color w:val="auto"/>
                          <w:sz w:val="36"/>
                        </w:rPr>
                      </w:r>
                    </w:p>
                    <w:p>
                      <w:pPr>
                        <w:jc w:val="center"/>
                        <w:spacing w:after="960"/>
                        <w:widowControl w:val="off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Р Е Ш Е Н И Е</w:t>
                      </w:r>
                      <w:r>
                        <w:rPr>
                          <w:sz w:val="32"/>
                        </w:rPr>
                      </w:r>
                      <w:r>
                        <w:rPr>
                          <w:sz w:val="32"/>
                        </w:rPr>
                      </w:r>
                    </w:p>
                    <w:p>
                      <w:pPr>
                        <w:jc w:val="center"/>
                        <w:widowControl w:val="off"/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</w:r>
                      <w:r>
                        <w:rPr>
                          <w:szCs w:val="28"/>
                        </w:rPr>
                      </w:r>
                      <w:r>
                        <w:rPr>
                          <w:szCs w:val="28"/>
                        </w:rPr>
                      </w:r>
                    </w:p>
                    <w:p>
                      <w:pPr>
                        <w:jc w:val="center"/>
                        <w:widowControl w:val="off"/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</w:r>
                      <w:r>
                        <w:rPr>
                          <w:szCs w:val="28"/>
                        </w:rPr>
                      </w:r>
                      <w:r>
                        <w:rPr>
                          <w:szCs w:val="28"/>
                        </w:rPr>
                      </w:r>
                    </w:p>
                    <w:p>
                      <w:pPr>
                        <w:jc w:val="center"/>
                        <w:widowControl w:val="off"/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</w:r>
                      <w:r>
                        <w:rPr>
                          <w:szCs w:val="28"/>
                        </w:rPr>
                      </w:r>
                      <w:r>
                        <w:rPr>
                          <w:szCs w:val="28"/>
                        </w:rPr>
                      </w:r>
                    </w:p>
                    <w:p>
                      <w:pPr>
                        <w:jc w:val="center"/>
                        <w:widowControl w:val="off"/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</w:r>
                      <w:r>
                        <w:rPr>
                          <w:szCs w:val="28"/>
                        </w:rPr>
                      </w:r>
                      <w:r>
                        <w:rPr>
                          <w:szCs w:val="28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w:t>Проект вносится Главой города Перми</w:t>
      </w: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AA7018">
      <w:pPr>
        <w:tabs>
          <w:tab w:val="center" w:pos="0"/>
          <w:tab w:val="center" w:pos="4153"/>
          <w:tab w:val="right" w:pos="8306"/>
          <w:tab w:val="right" w:pos="9639"/>
        </w:tabs>
        <w:jc w:val="center"/>
        <w:rPr>
          <w:sz w:val="16"/>
        </w:rPr>
      </w:pPr>
    </w:p>
    <w:p w:rsidR="00AA7018" w:rsidRDefault="007004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Правила благоустройства территории города Перми, утвержденные решением Пермской городской Думы от 15.12.2020 № 277</w:t>
      </w:r>
    </w:p>
    <w:p w:rsidR="00AA7018" w:rsidRDefault="00AA7018">
      <w:pPr>
        <w:jc w:val="both"/>
        <w:rPr>
          <w:sz w:val="28"/>
          <w:szCs w:val="28"/>
        </w:rPr>
      </w:pPr>
    </w:p>
    <w:p w:rsidR="00AA7018" w:rsidRDefault="00AA7018">
      <w:pPr>
        <w:jc w:val="both"/>
        <w:rPr>
          <w:sz w:val="28"/>
          <w:szCs w:val="28"/>
        </w:rPr>
      </w:pPr>
    </w:p>
    <w:p w:rsidR="00AA7018" w:rsidRDefault="00700423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На основании Градостроительного кодекса Российской Федерации, федеральных </w:t>
      </w:r>
      <w:hyperlink r:id="rId13" w:tooltip="consultantplus://offline/ref=2B16D41C8C950D0091338C0C7DDD7CD811EBED6485A0BC089993BE11B0B69AA9EBEB55348781B49108266042F2P745F" w:history="1">
        <w:r>
          <w:rPr>
            <w:rFonts w:eastAsia="Calibri"/>
            <w:sz w:val="28"/>
            <w:szCs w:val="28"/>
          </w:rPr>
          <w:t>законов</w:t>
        </w:r>
      </w:hyperlink>
      <w:r>
        <w:rPr>
          <w:rFonts w:eastAsia="Calibri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от 20.03.2025 № 33-ФЗ «Об общих принципах организации м</w:t>
      </w:r>
      <w:r>
        <w:rPr>
          <w:sz w:val="28"/>
          <w:szCs w:val="28"/>
        </w:rPr>
        <w:t xml:space="preserve">естного самоуправления в единой системе публичной власти», </w:t>
      </w:r>
      <w:hyperlink r:id="rId14" w:tooltip="consultantplus://offline/ref=2B16D41C8C950D00913392016BB121D31AE3B36B83A5B357C1C3B846EFE69CFCB9AB0B6DC6C4A79109386240F1773F8637C560A5D486937768394FD1PC46F" w:history="1">
        <w:r>
          <w:rPr>
            <w:rFonts w:eastAsia="Calibri"/>
            <w:sz w:val="28"/>
            <w:szCs w:val="28"/>
          </w:rPr>
          <w:t>Устава</w:t>
        </w:r>
      </w:hyperlink>
      <w:r>
        <w:rPr>
          <w:rFonts w:eastAsia="Calibri"/>
          <w:sz w:val="28"/>
          <w:szCs w:val="28"/>
        </w:rPr>
        <w:t xml:space="preserve"> города Перми</w:t>
      </w:r>
    </w:p>
    <w:p w:rsidR="00AA7018" w:rsidRDefault="00AA7018">
      <w:pPr>
        <w:ind w:firstLine="567"/>
        <w:jc w:val="center"/>
        <w:rPr>
          <w:sz w:val="28"/>
          <w:szCs w:val="28"/>
        </w:rPr>
      </w:pPr>
    </w:p>
    <w:p w:rsidR="00AA7018" w:rsidRDefault="00700423">
      <w:pPr>
        <w:jc w:val="center"/>
        <w:rPr>
          <w:b/>
          <w:spacing w:val="50"/>
          <w:sz w:val="28"/>
          <w:szCs w:val="28"/>
        </w:rPr>
      </w:pPr>
      <w:r>
        <w:rPr>
          <w:sz w:val="28"/>
          <w:szCs w:val="28"/>
        </w:rPr>
        <w:t xml:space="preserve">Пермская городская Дума </w:t>
      </w:r>
      <w:r>
        <w:rPr>
          <w:b/>
          <w:spacing w:val="50"/>
          <w:sz w:val="28"/>
          <w:szCs w:val="28"/>
        </w:rPr>
        <w:t>решила:</w:t>
      </w:r>
    </w:p>
    <w:p w:rsidR="00AA7018" w:rsidRDefault="00AA7018">
      <w:pPr>
        <w:ind w:firstLine="567"/>
        <w:jc w:val="both"/>
        <w:rPr>
          <w:sz w:val="28"/>
          <w:szCs w:val="28"/>
        </w:rPr>
      </w:pP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</w:t>
      </w:r>
      <w:r>
        <w:rPr>
          <w:rFonts w:eastAsia="Calibri"/>
          <w:sz w:val="28"/>
          <w:szCs w:val="28"/>
          <w:lang w:eastAsia="en-US"/>
        </w:rPr>
        <w:t xml:space="preserve">Правила благоустройства </w:t>
      </w:r>
      <w:r>
        <w:rPr>
          <w:sz w:val="28"/>
          <w:szCs w:val="28"/>
        </w:rPr>
        <w:t xml:space="preserve">территории города Перми, утвержденные решением Пермской городской Думы от 15.12.2020 № 277 (в редакции решений Пермской городской Думы от 24.02.2021 </w:t>
      </w:r>
      <w:hyperlink r:id="rId15" w:tooltip="consultantplus://offline/ref=C41632C412696B81FFD3EC343D3AA9F3349E2130976BCE867A3A15D05E1B2CE9AC161677919F1BDFA645DE8DFCA8469CBD1A737B45498B8DBCB9D71951o5I" w:history="1">
        <w:r>
          <w:rPr>
            <w:sz w:val="28"/>
            <w:szCs w:val="28"/>
          </w:rPr>
          <w:t>№ 40</w:t>
        </w:r>
      </w:hyperlink>
      <w:r>
        <w:rPr>
          <w:sz w:val="28"/>
          <w:szCs w:val="28"/>
        </w:rPr>
        <w:t xml:space="preserve">, от 27.04.2021 </w:t>
      </w:r>
      <w:hyperlink r:id="rId16" w:tooltip="consultantplus://offline/ref=C41632C412696B81FFD3EC343D3AA9F3349E2130976AC58F7F3D15D05E1B2CE9AC161677919F1BDFA645DE8DFCA8469CBD1A737B45498B8DBCB9D71951o5I" w:history="1">
        <w:r>
          <w:rPr>
            <w:sz w:val="28"/>
            <w:szCs w:val="28"/>
          </w:rPr>
          <w:t>№ 102</w:t>
        </w:r>
      </w:hyperlink>
      <w:r>
        <w:rPr>
          <w:sz w:val="28"/>
          <w:szCs w:val="28"/>
        </w:rPr>
        <w:t xml:space="preserve">, от 24.08.2021 </w:t>
      </w:r>
      <w:hyperlink r:id="rId17" w:tooltip="consultantplus://offline/ref=C41632C412696B81FFD3EC343D3AA9F3349E2130976AC18E773B15D05E1B2CE9AC161677919F1BDFA645DE8DFCA8469CBD1A737B45498B8DBCB9D71951o5I" w:history="1">
        <w:r>
          <w:rPr>
            <w:sz w:val="28"/>
            <w:szCs w:val="28"/>
          </w:rPr>
          <w:t>№ 181</w:t>
        </w:r>
      </w:hyperlink>
      <w:r>
        <w:rPr>
          <w:sz w:val="28"/>
          <w:szCs w:val="28"/>
        </w:rPr>
        <w:t xml:space="preserve">, от 24.08.2021 </w:t>
      </w:r>
      <w:hyperlink r:id="rId18" w:tooltip="consultantplus://offline/ref=C41632C412696B81FFD3EC343D3AA9F3349E21309768C2887D3A15D05E1B2CE9AC161677919F1BDFA645DE8DFCA8469CBD1A737B45498B8DBCB9D71951o5I" w:history="1">
        <w:r>
          <w:rPr>
            <w:sz w:val="28"/>
            <w:szCs w:val="28"/>
          </w:rPr>
          <w:t>№</w:t>
        </w:r>
        <w:r>
          <w:rPr>
            <w:sz w:val="28"/>
            <w:szCs w:val="28"/>
          </w:rPr>
          <w:t xml:space="preserve"> 182</w:t>
        </w:r>
      </w:hyperlink>
      <w:r>
        <w:rPr>
          <w:sz w:val="28"/>
          <w:szCs w:val="28"/>
        </w:rPr>
        <w:t xml:space="preserve">, от 21.12.2021 № 307, от 26.04.2022 </w:t>
      </w:r>
      <w:hyperlink r:id="rId19" w:tooltip="consultantplus://offline/ref=C41632C412696B81FFD3EC343D3AA9F3349E21309768C2887D3E15D05E1B2CE9AC161677919F1BDFA645DE8DFCA8469CBD1A737B45498B8DBCB9D71951o5I" w:history="1">
        <w:r>
          <w:rPr>
            <w:sz w:val="28"/>
            <w:szCs w:val="28"/>
          </w:rPr>
          <w:t>№ 81</w:t>
        </w:r>
      </w:hyperlink>
      <w:r>
        <w:rPr>
          <w:sz w:val="28"/>
          <w:szCs w:val="28"/>
        </w:rPr>
        <w:t xml:space="preserve">, от 26.04.2022 </w:t>
      </w:r>
      <w:hyperlink r:id="rId20" w:tooltip="consultantplus://offline/ref=C41632C412696B81FFD3EC343D3AA9F3349E21309769C18D7C3815D05E1B2CE9AC161677919F1BDFA645DE8DFCA8469CBD1A737B45498B8DBCB9D71951o5I" w:history="1">
        <w:r>
          <w:rPr>
            <w:sz w:val="28"/>
            <w:szCs w:val="28"/>
          </w:rPr>
          <w:t>№ 82</w:t>
        </w:r>
      </w:hyperlink>
      <w:r>
        <w:rPr>
          <w:sz w:val="28"/>
          <w:szCs w:val="28"/>
        </w:rPr>
        <w:t xml:space="preserve">, от 28.06.2022 </w:t>
      </w:r>
      <w:hyperlink r:id="rId21" w:tooltip="consultantplus://offline/ref=C41632C412696B81FFD3EC343D3AA9F3349E21309769CF8D793D15D05E1B2CE9AC161677919F1BDFA645DE8DFCA8469CBD1A737B45498B8DBCB9D71951o5I" w:history="1">
        <w:r>
          <w:rPr>
            <w:sz w:val="28"/>
            <w:szCs w:val="28"/>
          </w:rPr>
          <w:t>№ 144</w:t>
        </w:r>
      </w:hyperlink>
      <w:r>
        <w:rPr>
          <w:sz w:val="28"/>
          <w:szCs w:val="28"/>
        </w:rPr>
        <w:t xml:space="preserve">, от 23.08.2022 № 171, от 23.08.2022 № 173, от 23.08.2022 № 174, от 25.10.2022 № 233, от 15.11.2022 </w:t>
      </w:r>
      <w:hyperlink r:id="rId22" w:tooltip="consultantplus://offline/ref=C41632C412696B81FFD3EC343D3AA9F3349E21309768C2887D3915D05E1B2CE9AC161677919F1BDFA645DE8DFCA8469CBD1A737B45498B8DBCB9D71951o5I" w:history="1">
        <w:r>
          <w:rPr>
            <w:sz w:val="28"/>
            <w:szCs w:val="28"/>
          </w:rPr>
          <w:t>№ 257</w:t>
        </w:r>
      </w:hyperlink>
      <w:r>
        <w:rPr>
          <w:sz w:val="28"/>
          <w:szCs w:val="28"/>
        </w:rPr>
        <w:t xml:space="preserve">, от 20.12.2022 </w:t>
      </w:r>
      <w:hyperlink r:id="rId23" w:tooltip="consultantplus://offline/ref=C41632C412696B81FFD3EC343D3AA9F3349E21309768C28D7D3415D05E1B2CE9AC161677919F1BDFA645DE8DFCA8469CBD1A737B45498B8DBCB9D71951o5I" w:history="1">
        <w:r>
          <w:rPr>
            <w:sz w:val="28"/>
            <w:szCs w:val="28"/>
          </w:rPr>
          <w:t>№ 271</w:t>
        </w:r>
      </w:hyperlink>
      <w:r>
        <w:rPr>
          <w:sz w:val="28"/>
          <w:szCs w:val="28"/>
        </w:rPr>
        <w:t xml:space="preserve">, от 20.12.2022 </w:t>
      </w:r>
      <w:hyperlink r:id="rId24" w:tooltip="consultantplus://offline/ref=C41632C412696B81FFD3EC343D3AA9F3349E21309768C28E793E15D05E1B2CE9AC161677919F1BDFA645DE8DFCA8469CBD1A737B45498B8DBCB9D71951o5I" w:history="1">
        <w:r>
          <w:rPr>
            <w:sz w:val="28"/>
            <w:szCs w:val="28"/>
          </w:rPr>
          <w:t>№ 276</w:t>
        </w:r>
      </w:hyperlink>
      <w:r>
        <w:rPr>
          <w:sz w:val="28"/>
          <w:szCs w:val="28"/>
        </w:rPr>
        <w:t xml:space="preserve">, от 20.12.2022 № 280, от 24.01.2023 № 10, от 27.06.2023 № 117, от 22.08.2023 № 161, </w:t>
      </w:r>
      <w:r>
        <w:rPr>
          <w:sz w:val="28"/>
          <w:szCs w:val="28"/>
        </w:rPr>
        <w:t xml:space="preserve">от 26.09.2023 № 181, от 26.09.2023 № 182, от 26.09.2023 № 188, от 26.09.2023 № 189, от 26.09.2023 № 199, от 19.12.2023 № 277, от 27.02.2024 </w:t>
      </w:r>
      <w:hyperlink r:id="rId25" w:tooltip="https://login.consultant.ru/link/?req=doc&amp;base=RLAW368&amp;n=192073&amp;dst=100005" w:history="1">
        <w:r>
          <w:rPr>
            <w:sz w:val="28"/>
            <w:szCs w:val="28"/>
          </w:rPr>
          <w:t xml:space="preserve">№ 27, </w:t>
        </w:r>
      </w:hyperlink>
      <w:r>
        <w:rPr>
          <w:sz w:val="28"/>
          <w:szCs w:val="28"/>
        </w:rPr>
        <w:t>от 26.03.2024 № 49, от 26.03.2024 № 54, от 23.04.2024 № 70, от 28.05.2024 № 95, от 25.06.2024 № 107, от 25.06.2024 № 108, от 25.06.2024 № 118, от 24.09.2024 № 157, от 22.10.2024 № 177, от 19.11.2</w:t>
      </w:r>
      <w:r>
        <w:rPr>
          <w:sz w:val="28"/>
          <w:szCs w:val="28"/>
        </w:rPr>
        <w:t>024 № 203, от 19.11.2024 № 204, от 17.12.2024 № 229, от 25.03.2025 № 48, от 24.04.2025 № 80, от 24.04.2025 № 81, от 27.05.2025 № 99, от 27.05.2025 № 100, от 27.05.2025 № 101), изменения: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 подпункт 9.4.4.4 после абзаца четвертого дополнить абзацами следу</w:t>
      </w:r>
      <w:r>
        <w:rPr>
          <w:sz w:val="28"/>
          <w:szCs w:val="28"/>
        </w:rPr>
        <w:t xml:space="preserve">ющего содержания: 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>
        <w:rPr>
          <w:sz w:val="28"/>
          <w:szCs w:val="28"/>
        </w:rPr>
        <w:t>в границах гостевого маршрута,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zh-CN"/>
        </w:rPr>
        <w:t>в границах городского центра,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zh-CN"/>
        </w:rPr>
        <w:t>на территориях, обращенных на улицы особого градостроительного значения – магистрали городского значения.</w:t>
      </w:r>
      <w:r>
        <w:rPr>
          <w:sz w:val="28"/>
          <w:szCs w:val="28"/>
        </w:rPr>
        <w:t>»;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1.2 в </w:t>
      </w:r>
      <w:hyperlink r:id="rId26" w:tooltip="https://login.consultant.ru/link/?req=doc&amp;base=RLAW368&amp;n=196762&amp;dst=100756" w:history="1">
        <w:r>
          <w:rPr>
            <w:sz w:val="28"/>
            <w:szCs w:val="28"/>
          </w:rPr>
          <w:t>Требования</w:t>
        </w:r>
      </w:hyperlink>
      <w:r>
        <w:rPr>
          <w:sz w:val="28"/>
          <w:szCs w:val="28"/>
        </w:rPr>
        <w:t>х к типовым проектам некапитальных строений, сооружений, используемых для осу</w:t>
      </w:r>
      <w:r>
        <w:rPr>
          <w:sz w:val="28"/>
          <w:szCs w:val="28"/>
        </w:rPr>
        <w:t>ществления торговой деятельности и деятельности по оказанию услуг населению, включая услуги общественного питания (приложение 1):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1.2.1 в пункте 1.2 слова </w:t>
      </w:r>
      <w:r>
        <w:rPr>
          <w:rFonts w:eastAsia="Calibri"/>
          <w:sz w:val="28"/>
          <w:szCs w:val="28"/>
        </w:rPr>
        <w:t>«</w:t>
      </w:r>
      <w:r>
        <w:rPr>
          <w:sz w:val="28"/>
          <w:szCs w:val="28"/>
        </w:rPr>
        <w:t>(за исключением павильона, используемого для оказания услуг мойки транспортных средств)</w:t>
      </w:r>
      <w:r>
        <w:rPr>
          <w:rFonts w:eastAsia="Calibri"/>
          <w:sz w:val="28"/>
          <w:szCs w:val="28"/>
        </w:rPr>
        <w:t>»</w:t>
      </w:r>
      <w:r>
        <w:rPr>
          <w:sz w:val="28"/>
          <w:szCs w:val="28"/>
        </w:rPr>
        <w:t xml:space="preserve"> исключить;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1.2.2 в подпункте 1.4.1: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1.2.2.1 абзац первый изложить в редакции:</w:t>
      </w:r>
    </w:p>
    <w:p w:rsidR="00AA7018" w:rsidRDefault="00700423">
      <w:pPr>
        <w:pStyle w:val="aff0"/>
        <w:spacing w:line="288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«1.4.1. высота Нестационарного объекта рассчитывается от нижней высотной отметки цоколя до верхней высотной отметки декоративного обрамления, расположенного по периметру Нестационарного объ</w:t>
      </w:r>
      <w:r>
        <w:rPr>
          <w:sz w:val="28"/>
          <w:szCs w:val="28"/>
        </w:rPr>
        <w:t>екта между верхними углами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фасада (далее – фриз), за исключением вендингового автомата, палатки и павильона, используемого для оказания услуг мойки транспортных средств (далее – автомойка).»;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1.2.2.2 дополнить абзацем четвертым следующего содержания: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«Высо</w:t>
      </w:r>
      <w:r>
        <w:rPr>
          <w:sz w:val="28"/>
          <w:szCs w:val="28"/>
        </w:rPr>
        <w:t>та автомойки рассчитывается от нижней высотной отметки фасада до верхней высотной отметки фриза;»;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  <w:lang w:eastAsia="zh-CN"/>
        </w:rPr>
      </w:pPr>
      <w:r>
        <w:rPr>
          <w:sz w:val="28"/>
          <w:szCs w:val="28"/>
        </w:rPr>
        <w:t xml:space="preserve">1.2.3 подпункт </w:t>
      </w:r>
      <w:r>
        <w:rPr>
          <w:sz w:val="28"/>
          <w:szCs w:val="28"/>
          <w:lang w:eastAsia="zh-CN"/>
        </w:rPr>
        <w:t>2.1.7.1 после слов «неровной поверхности» дополнить словом «земли»;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  <w:lang w:eastAsia="zh-CN"/>
        </w:rPr>
      </w:pPr>
      <w:r>
        <w:rPr>
          <w:sz w:val="28"/>
          <w:szCs w:val="28"/>
        </w:rPr>
        <w:t xml:space="preserve">1.2.4 подпункт </w:t>
      </w:r>
      <w:r>
        <w:rPr>
          <w:sz w:val="28"/>
          <w:szCs w:val="28"/>
          <w:lang w:eastAsia="zh-CN"/>
        </w:rPr>
        <w:t xml:space="preserve">2.2.7.1 после слов </w:t>
      </w:r>
      <w:r>
        <w:rPr>
          <w:sz w:val="28"/>
          <w:szCs w:val="28"/>
          <w:lang w:eastAsia="zh-CN"/>
        </w:rPr>
        <w:t>«неровной поверхности» дополнить словом «земли»;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  <w:lang w:eastAsia="zh-CN"/>
        </w:rPr>
      </w:pPr>
      <w:r>
        <w:rPr>
          <w:sz w:val="28"/>
          <w:szCs w:val="28"/>
        </w:rPr>
        <w:t xml:space="preserve">1.2.5 подпункт </w:t>
      </w:r>
      <w:r>
        <w:rPr>
          <w:sz w:val="28"/>
          <w:szCs w:val="28"/>
          <w:lang w:eastAsia="zh-CN"/>
        </w:rPr>
        <w:t>3.1.7.1 после слов «неровной поверхности» дополнить словом «земли»;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1.2.6 дополнить подразделом 3.2 следующего содержания:</w:t>
      </w:r>
    </w:p>
    <w:p w:rsidR="00AA7018" w:rsidRDefault="00700423">
      <w:pPr>
        <w:ind w:firstLine="709"/>
        <w:jc w:val="center"/>
        <w:outlineLvl w:val="0"/>
        <w:rPr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>
        <w:rPr>
          <w:sz w:val="28"/>
          <w:szCs w:val="28"/>
        </w:rPr>
        <w:t>3.2. Требования к типовым проектам автомойки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3.2.1. Размеры автомойк</w:t>
      </w:r>
      <w:r>
        <w:rPr>
          <w:sz w:val="28"/>
          <w:szCs w:val="28"/>
        </w:rPr>
        <w:t xml:space="preserve">и: длина – от 8 м до 25 м, ширина – от 6 м до 15 м, высота – не более 6 м. 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3.2.2. Конструкции, требования к их материалам: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3.2.2.1 каркас: несущие сварные металлические конструкции;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3.2.2.2 фасад: главный, боковой, дворовый;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3.2.2.3 оконные и дверные пере</w:t>
      </w:r>
      <w:r>
        <w:rPr>
          <w:sz w:val="28"/>
          <w:szCs w:val="28"/>
        </w:rPr>
        <w:t>плеты;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3.2.2.4 остекление: простое прозрачное с антивандальным покрытием, без тонирования;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3.2.2.5 ворота. Количество ворот автомойки определяется ее владельцем в пределах размеров, установленных подпунктом 3.2.1 Требований.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3.2.3. Декоративные элементы вн</w:t>
      </w:r>
      <w:r>
        <w:rPr>
          <w:sz w:val="28"/>
          <w:szCs w:val="28"/>
        </w:rPr>
        <w:t>ешней отделки и требования к их параметрам и материалам: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3.2.3.1 панели для отделки фасадов (в том числе предусмотренные подпунктом 3.2.5.2.1 Требований для автомойки «Тип 2»): металлические панели или композитные панели;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3.2.3.2 наружные углы: композит</w:t>
      </w:r>
      <w:r>
        <w:rPr>
          <w:sz w:val="28"/>
          <w:szCs w:val="28"/>
        </w:rPr>
        <w:t xml:space="preserve"> или металл;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3.2.3.3 фриз: композит или металл толщиной не менее 1,5 мм; высота фриза – 0,69-0,81 м;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3.2.3.4 для идентификации автомойки допускается использование типовых знаков в виде шланга, капли с отражением автомобиля, геометки, мыльных </w:t>
      </w:r>
      <w:r>
        <w:rPr>
          <w:sz w:val="28"/>
          <w:szCs w:val="28"/>
        </w:rPr>
        <w:lastRenderedPageBreak/>
        <w:t>пузырей и иных</w:t>
      </w:r>
      <w:r>
        <w:rPr>
          <w:sz w:val="28"/>
          <w:szCs w:val="28"/>
        </w:rPr>
        <w:t xml:space="preserve"> подобных изображений, обозначающих автомойки (далее – типовой знак автомойки): металл или композит;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3.2.3.5 декоративная панель с вертикальным расположением реек для автомойки «Тип 1»: металл или дерево, ширина рейки не менее 0,04 м и не более 0,05 м, рас</w:t>
      </w:r>
      <w:r>
        <w:rPr>
          <w:sz w:val="28"/>
          <w:szCs w:val="28"/>
        </w:rPr>
        <w:t>стояние между ближайшими рейками – не менее 0,04 м и не более 0,05 м;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3.2.3.6 графическое изображение номера ворот размещается путем непосредственного нанесения изображения на поверхность ворот, а также может быть объемным и исполнено в пластике, дереве ил</w:t>
      </w:r>
      <w:r>
        <w:rPr>
          <w:sz w:val="28"/>
          <w:szCs w:val="28"/>
        </w:rPr>
        <w:t>и металле.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3.2.4. Иные элементы внешней отделки, требования к их материалам: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3.2.4.1 допускаются вентиляционные решетки: металл;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3.2.4.2 допускаются роллетные системы: металлические с механическим или электрическим приводом.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3.2.5. Требования к способу раз</w:t>
      </w:r>
      <w:r>
        <w:rPr>
          <w:sz w:val="28"/>
          <w:szCs w:val="28"/>
        </w:rPr>
        <w:t xml:space="preserve">мещения декоративных элементов внешней отделки устанавливаются в зависимости от типа автомойки: «Тип 1», «Тип 2», «Тип 3»: 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3.2.5.1 автомойка «Тип 1»: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главном фасаде или одном из боковых фасадов автомойки должна быть размещена декоративная панель с верт</w:t>
      </w:r>
      <w:r>
        <w:rPr>
          <w:sz w:val="28"/>
          <w:szCs w:val="28"/>
        </w:rPr>
        <w:t>икальным расположением реек, при этом ширина декоративной панели должна быть равна ширине одних из ворот, а верхняя высотная отметка декоративной панели должна совпадать с нижней высотной отметкой фриза, нижняя высотная отметка декоративной панели должна д</w:t>
      </w:r>
      <w:r>
        <w:rPr>
          <w:sz w:val="28"/>
          <w:szCs w:val="28"/>
        </w:rPr>
        <w:t>остигать нижней отметки автомойки. Декоративная панель с вертикальным расположением реек не должна перекрывать ворота, типовой знак автомойки, оконные и дверные переплеты;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3.2.5.2 автомойка «Тип 2»: 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3.2.5.2.1 для облицовки главного фасада (за исключением </w:t>
      </w:r>
      <w:r>
        <w:rPr>
          <w:sz w:val="28"/>
          <w:szCs w:val="28"/>
        </w:rPr>
        <w:t>фриза, ворот, типового знака автомойки, оконных и дверных переплетов) по всей его ширине и длине используются объемные панели для отделки фасадов с вертикальным расположением реек (далее – объемные панели отделки);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3.2.5.2.2 во всю длину дворового фасада п</w:t>
      </w:r>
      <w:r>
        <w:rPr>
          <w:sz w:val="28"/>
          <w:szCs w:val="28"/>
        </w:rPr>
        <w:t>од фризом (от нижней высотной отметки фриза) размещаются объемные панели отделки высотой 0,59-0,71 м, которые продолжаются на боковых фасадах на длину, равную 1/3 от длины каждого из боковых фасадов. На боковых фасадах продолжающиеся с дворового фасада объ</w:t>
      </w:r>
      <w:r>
        <w:rPr>
          <w:sz w:val="28"/>
          <w:szCs w:val="28"/>
        </w:rPr>
        <w:t>емные панели отделки, достигнув длину, равную 1/3 от длины каждого из боковых фасадов, равномерно распределяясь под углом 45-55 градусов, соединяются с нижней высотной отметкой бокового фасада в сторону главного фасада;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3.2.5.3 автомойка «Тип 3»: </w:t>
      </w:r>
    </w:p>
    <w:p w:rsidR="00AA7018" w:rsidRDefault="00700423">
      <w:pPr>
        <w:tabs>
          <w:tab w:val="left" w:pos="111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требован</w:t>
      </w:r>
      <w:r>
        <w:rPr>
          <w:sz w:val="28"/>
          <w:szCs w:val="28"/>
        </w:rPr>
        <w:t>ия к способу размещения декоративных элементов внешней отделки не устанавливаются.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 Требования к цветовому решению: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3.2.6.1 автомойка «Тип 1»: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3.2.6.1.1 панели для отделки фасада, ворота, вентиляционные решетки, роллетные системы: RAL 9016 (транспорт</w:t>
      </w:r>
      <w:r>
        <w:rPr>
          <w:sz w:val="28"/>
          <w:szCs w:val="28"/>
        </w:rPr>
        <w:t>ный белый);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3.2.6.1.2 фриз, декоративная панель с вертикальным расположением реек, оконные и дверные переплеты, типовой знак автомойки, наружные углы, графическое изображение номера ворот: RAL 7016 (антрацитово-серый); 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3.2.6.2 автомойка «Тип 2»: 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3.2.6.2.</w:t>
      </w:r>
      <w:r>
        <w:rPr>
          <w:sz w:val="28"/>
          <w:szCs w:val="28"/>
        </w:rPr>
        <w:t>1 панели для отделки фасада, ворота, фриз, оконные и дверные переплеты, типовой знак автомойки, вентиляционные решетки, роллетные системы: RAL 7039 (кварцевый серый);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3.2.6.2.2 объемные панели отделки, графическое изображение номера ворот: RAL 1015 (светла</w:t>
      </w:r>
      <w:r>
        <w:rPr>
          <w:sz w:val="28"/>
          <w:szCs w:val="28"/>
        </w:rPr>
        <w:t>я слоновая кость);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3.2.6.2.3 наружные углы: RAL 7039 (кварцевый серый) и (или) RAL 1015 (светлая слоновая кость);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3.2.6.3 автомойка «Тип 3»: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3.2.6.3.1 панели для отделки фасада, наружные углы: RAL 7037 (пыльно-серый) и (или) RAL 7034 (желто-серый);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3.2.6.3.2 фриз: RAL 7034 (желто-серый);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3.2.6.3.3 ворота, вентиляционные решетки, роллетные системы: RAL 7037 (пыльно-серый);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3.2.6.3.4 типовой знак автомойки, оконные и дверные переплеты: RAL 7016 (антрацитово-серый).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3.2.7. Дополнительные требования к ти</w:t>
      </w:r>
      <w:r>
        <w:rPr>
          <w:sz w:val="28"/>
          <w:szCs w:val="28"/>
        </w:rPr>
        <w:t>повым проектам автомоек: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3.2.7.1 в случае неровной поверхности земли размещение автомойки должно предусматривать ее размещение в ровной горизонтальной плоскости;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3.2.7.2 роллетные системы не должны перекрывать декоративные элементы внешней отделки;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3.2.7.3</w:t>
      </w:r>
      <w:r>
        <w:rPr>
          <w:sz w:val="28"/>
          <w:szCs w:val="28"/>
        </w:rPr>
        <w:t xml:space="preserve"> установка кондиционера: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3.2.7.3.1 допускается внешняя и внутренняя система кондиционирования;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3.2.7.3.2 при внешнем кондиционировании внешний блок кондиционера располагается на крыше (кровле) автомойки;</w:t>
      </w:r>
    </w:p>
    <w:p w:rsidR="00AA7018" w:rsidRDefault="0070042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3.2.7.3.3 высота внешнего блока кондиционера не долж</w:t>
      </w:r>
      <w:r>
        <w:rPr>
          <w:sz w:val="28"/>
          <w:szCs w:val="28"/>
        </w:rPr>
        <w:t>на превышать высоту фриза, при отсутствии технической возможности такого размещения внешний блок кондиционера должен быть размещен по центру крыши (кровли) с использованием маскирующего ограждения (экрана, решетки), соответствующего цвету панелей для отдел</w:t>
      </w:r>
      <w:r>
        <w:rPr>
          <w:sz w:val="28"/>
          <w:szCs w:val="28"/>
        </w:rPr>
        <w:t>ки фасадов автомойки, со скрытым отводом конденсата.</w:t>
      </w:r>
      <w:r>
        <w:rPr>
          <w:sz w:val="28"/>
          <w:szCs w:val="28"/>
          <w:lang w:eastAsia="zh-CN"/>
        </w:rPr>
        <w:t>»;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1.2.7 в пункте 4.3: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1.2.7.1 в абзаце первом слова «и вендингового автомата» заменить словами «, вендингового автомата и автомойки»;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1.2.7.2 дополнить абзацем следующего содержания: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«Вывеска на автомойк</w:t>
      </w:r>
      <w:r>
        <w:rPr>
          <w:sz w:val="28"/>
          <w:szCs w:val="28"/>
        </w:rPr>
        <w:t>е размещается в левом верхнем углу фриза.»;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1.2.8 абзац второй пункта 4.7 после слова «шиномонтажах» дополнить словом «, автомойках»; 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1.2.9 в абзаце втором пункта 4.8 слова «</w:t>
      </w:r>
      <w:r>
        <w:rPr>
          <w:sz w:val="28"/>
          <w:szCs w:val="28"/>
          <w:lang w:eastAsia="zh-CN"/>
        </w:rPr>
        <w:t>или шиномонтажа» заменить словами «, шиномонтажа, автомойки»;</w:t>
      </w:r>
    </w:p>
    <w:p w:rsidR="00AA7018" w:rsidRDefault="00700423">
      <w:pPr>
        <w:pStyle w:val="aff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1.2.10 в Примерах </w:t>
      </w:r>
      <w:r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рхитектурных решений внешнего вида типовых проектов некапитальных строений, сооружений, используемых </w:t>
      </w:r>
      <w:r>
        <w:rPr>
          <w:bCs/>
          <w:sz w:val="28"/>
          <w:szCs w:val="28"/>
        </w:rPr>
        <w:lastRenderedPageBreak/>
        <w:t>для осуществления торговой деятельности и деятельности по оказанию услуг населению, включая услуги общественного питания (приложение):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1.2.10.1 дополнить п</w:t>
      </w:r>
      <w:r>
        <w:rPr>
          <w:sz w:val="28"/>
          <w:szCs w:val="28"/>
        </w:rPr>
        <w:t>одразделом 2.2 согласно приложению к настоящему решению;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1.2.10.2 в разделе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: 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1.2.10.2.1 слова «рис. 25. Киоск», «рис. 26. Павильон», «рис. 27. Вендинговый автомат», «рис. 28. Палатка», «рис. 29. Шиномонтаж» заменить соответственно словами «рис. 42. Ки</w:t>
      </w:r>
      <w:r>
        <w:rPr>
          <w:sz w:val="28"/>
          <w:szCs w:val="28"/>
        </w:rPr>
        <w:t>оск», «рис. 43. Павильон», «рис. 44. Вендинговый автомат», «рис. 45. Палатка», «рис. 46. Шиномонтаж»;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1.2.10.2.2 дополнить рисунком 47 следующего содержания: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«рис. 47. Автомойка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125095</wp:posOffset>
                </wp:positionH>
                <wp:positionV relativeFrom="paragraph">
                  <wp:posOffset>342900</wp:posOffset>
                </wp:positionV>
                <wp:extent cx="5979160" cy="1494790"/>
                <wp:effectExtent l="0" t="0" r="2540" b="0"/>
                <wp:wrapTopAndBottom/>
                <wp:docPr id="3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/>
                        </pic:cNvPicPr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5979160" cy="14947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z-index:251659264;o:allowoverlap:true;o:allowincell:true;mso-position-horizontal-relative:text;margin-left:9.85pt;mso-position-horizontal:absolute;mso-position-vertical-relative:text;margin-top:27.00pt;mso-position-vertical:absolute;width:470.80pt;height:117.70pt;mso-wrap-distance-left:9.00pt;mso-wrap-distance-top:0.00pt;mso-wrap-distance-right:9.00pt;mso-wrap-distance-bottom:0.00pt;" stroked="false">
                <v:path textboxrect="0,0,0,0"/>
                <w10:wrap type="topAndBottom"/>
                <v:imagedata r:id="rId28" o:title=""/>
              </v:shape>
            </w:pict>
          </mc:Fallback>
        </mc:AlternateContent>
      </w:r>
    </w:p>
    <w:p w:rsidR="00AA7018" w:rsidRDefault="00700423">
      <w:pPr>
        <w:pStyle w:val="afb"/>
        <w:spacing w:before="79"/>
        <w:jc w:val="right"/>
      </w:pPr>
      <w:r>
        <w:rPr>
          <w:szCs w:val="28"/>
        </w:rPr>
        <w:t>».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Размещенные на территории города Перми на день вступления в силу настоящего решения некапитальные строения, сооружения, используемые для оказания услуг мойки транспортных средств, должны быть приведены в соответствие с требованиями Правил благоустройств</w:t>
      </w:r>
      <w:r>
        <w:rPr>
          <w:sz w:val="28"/>
          <w:szCs w:val="28"/>
        </w:rPr>
        <w:t>а территории города Перми в редакции настоящего решения до 01.01.2027.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Настоящее решение вступает в силу с 01.03.2026. 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Обнародовать настоящее решение посредством официального опубликования в печатном средстве массовой информации «Официальный бюллете</w:t>
      </w:r>
      <w:r>
        <w:rPr>
          <w:sz w:val="28"/>
          <w:szCs w:val="28"/>
        </w:rPr>
        <w:t xml:space="preserve">нь органов местного самоуправления муниципального образования город Пермь», а также в сетевом издании «Официальный сайт муниципального образования город Пермь </w:t>
      </w:r>
      <w:hyperlink r:id="rId29" w:tooltip="http://www.gorodperm.ru" w:history="1">
        <w:r>
          <w:rPr>
            <w:sz w:val="28"/>
            <w:szCs w:val="28"/>
          </w:rPr>
          <w:t>www.gorodperm.ru»</w:t>
        </w:r>
      </w:hyperlink>
      <w:r>
        <w:rPr>
          <w:sz w:val="28"/>
          <w:szCs w:val="28"/>
        </w:rPr>
        <w:t>.</w:t>
      </w:r>
    </w:p>
    <w:p w:rsidR="00AA7018" w:rsidRDefault="0070042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Контро</w:t>
      </w:r>
      <w:r>
        <w:rPr>
          <w:sz w:val="28"/>
          <w:szCs w:val="28"/>
        </w:rPr>
        <w:t>ль за исполнением настоящего решения возложить на комитет Пермской городской Думы по пространственному развитию и благоустройству.</w:t>
      </w:r>
    </w:p>
    <w:p w:rsidR="00AA7018" w:rsidRDefault="00AA7018">
      <w:pPr>
        <w:ind w:firstLine="709"/>
        <w:jc w:val="both"/>
        <w:rPr>
          <w:sz w:val="28"/>
          <w:szCs w:val="28"/>
        </w:rPr>
      </w:pPr>
    </w:p>
    <w:p w:rsidR="00AA7018" w:rsidRDefault="00AA7018">
      <w:pPr>
        <w:ind w:firstLine="709"/>
        <w:jc w:val="both"/>
        <w:rPr>
          <w:sz w:val="28"/>
          <w:szCs w:val="28"/>
        </w:rPr>
      </w:pPr>
    </w:p>
    <w:p w:rsidR="00AA7018" w:rsidRDefault="00AA7018">
      <w:pPr>
        <w:ind w:firstLine="709"/>
        <w:jc w:val="both"/>
        <w:rPr>
          <w:sz w:val="28"/>
          <w:szCs w:val="28"/>
        </w:rPr>
      </w:pPr>
    </w:p>
    <w:p w:rsidR="00AA7018" w:rsidRDefault="007004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AA7018" w:rsidRDefault="00700423">
      <w:pPr>
        <w:jc w:val="both"/>
        <w:rPr>
          <w:sz w:val="28"/>
          <w:szCs w:val="28"/>
        </w:rPr>
      </w:pPr>
      <w:r>
        <w:rPr>
          <w:sz w:val="28"/>
          <w:szCs w:val="28"/>
        </w:rPr>
        <w:t>Пермской городской Думы                                                                      Д.В. Малютин</w:t>
      </w:r>
    </w:p>
    <w:p w:rsidR="00AA7018" w:rsidRDefault="00AA7018">
      <w:pPr>
        <w:rPr>
          <w:sz w:val="28"/>
          <w:szCs w:val="28"/>
        </w:rPr>
      </w:pPr>
    </w:p>
    <w:p w:rsidR="00AA7018" w:rsidRDefault="00AA7018">
      <w:pPr>
        <w:rPr>
          <w:sz w:val="28"/>
          <w:szCs w:val="28"/>
        </w:rPr>
      </w:pPr>
    </w:p>
    <w:p w:rsidR="00AA7018" w:rsidRDefault="00AA7018">
      <w:pPr>
        <w:rPr>
          <w:sz w:val="28"/>
          <w:szCs w:val="28"/>
        </w:rPr>
      </w:pPr>
    </w:p>
    <w:p w:rsidR="00AA7018" w:rsidRDefault="00700423">
      <w:pPr>
        <w:rPr>
          <w:sz w:val="28"/>
          <w:szCs w:val="28"/>
        </w:rPr>
      </w:pPr>
      <w:r>
        <w:rPr>
          <w:sz w:val="28"/>
          <w:szCs w:val="28"/>
        </w:rPr>
        <w:t xml:space="preserve">Глава города Перми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Э.О. Соснин</w:t>
      </w:r>
    </w:p>
    <w:sectPr w:rsidR="00AA7018">
      <w:headerReference w:type="even" r:id="rId30"/>
      <w:headerReference w:type="default" r:id="rId31"/>
      <w:pgSz w:w="11906" w:h="16838"/>
      <w:pgMar w:top="363" w:right="567" w:bottom="1134" w:left="1417" w:header="284" w:footer="68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423" w:rsidRDefault="00700423">
      <w:r>
        <w:separator/>
      </w:r>
    </w:p>
  </w:endnote>
  <w:endnote w:type="continuationSeparator" w:id="0">
    <w:p w:rsidR="00700423" w:rsidRDefault="00700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empora LGC Uni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423" w:rsidRDefault="00700423">
      <w:r>
        <w:separator/>
      </w:r>
    </w:p>
  </w:footnote>
  <w:footnote w:type="continuationSeparator" w:id="0">
    <w:p w:rsidR="00700423" w:rsidRDefault="007004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018" w:rsidRDefault="00700423">
    <w:pPr>
      <w:pStyle w:val="15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A7018" w:rsidRDefault="00AA7018">
    <w:pPr>
      <w:pStyle w:val="1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7018" w:rsidRDefault="00700423">
    <w:pPr>
      <w:pStyle w:val="a3"/>
      <w:jc w:val="center"/>
    </w:pPr>
    <w:r>
      <w:fldChar w:fldCharType="begin"/>
    </w:r>
    <w:r>
      <w:instrText>PAGE \* MERGEFORMAT</w:instrText>
    </w:r>
    <w:r>
      <w:fldChar w:fldCharType="separate"/>
    </w:r>
    <w:r w:rsidR="00A72E02">
      <w:rPr>
        <w:noProof/>
      </w:rPr>
      <w:t>2</w:t>
    </w:r>
    <w:r>
      <w:fldChar w:fldCharType="end"/>
    </w:r>
  </w:p>
  <w:p w:rsidR="00AA7018" w:rsidRDefault="00AA701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D937FF"/>
    <w:multiLevelType w:val="hybridMultilevel"/>
    <w:tmpl w:val="D0943F54"/>
    <w:lvl w:ilvl="0" w:tplc="FED0F98E">
      <w:start w:val="1"/>
      <w:numFmt w:val="decimal"/>
      <w:lvlText w:val="%1."/>
      <w:lvlJc w:val="left"/>
      <w:pPr>
        <w:ind w:left="1080" w:hanging="360"/>
      </w:pPr>
    </w:lvl>
    <w:lvl w:ilvl="1" w:tplc="478A0AFE">
      <w:start w:val="1"/>
      <w:numFmt w:val="lowerLetter"/>
      <w:lvlText w:val="%2."/>
      <w:lvlJc w:val="left"/>
      <w:pPr>
        <w:ind w:left="1800" w:hanging="360"/>
      </w:pPr>
    </w:lvl>
    <w:lvl w:ilvl="2" w:tplc="3626D652">
      <w:start w:val="1"/>
      <w:numFmt w:val="lowerRoman"/>
      <w:lvlText w:val="%3."/>
      <w:lvlJc w:val="right"/>
      <w:pPr>
        <w:ind w:left="2520" w:hanging="180"/>
      </w:pPr>
    </w:lvl>
    <w:lvl w:ilvl="3" w:tplc="95C4ED3E">
      <w:start w:val="1"/>
      <w:numFmt w:val="decimal"/>
      <w:lvlText w:val="%4."/>
      <w:lvlJc w:val="left"/>
      <w:pPr>
        <w:ind w:left="3240" w:hanging="360"/>
      </w:pPr>
    </w:lvl>
    <w:lvl w:ilvl="4" w:tplc="2062C962">
      <w:start w:val="1"/>
      <w:numFmt w:val="lowerLetter"/>
      <w:lvlText w:val="%5."/>
      <w:lvlJc w:val="left"/>
      <w:pPr>
        <w:ind w:left="3960" w:hanging="360"/>
      </w:pPr>
    </w:lvl>
    <w:lvl w:ilvl="5" w:tplc="5F84B5CE">
      <w:start w:val="1"/>
      <w:numFmt w:val="lowerRoman"/>
      <w:lvlText w:val="%6."/>
      <w:lvlJc w:val="right"/>
      <w:pPr>
        <w:ind w:left="4680" w:hanging="180"/>
      </w:pPr>
    </w:lvl>
    <w:lvl w:ilvl="6" w:tplc="204A280C">
      <w:start w:val="1"/>
      <w:numFmt w:val="decimal"/>
      <w:lvlText w:val="%7."/>
      <w:lvlJc w:val="left"/>
      <w:pPr>
        <w:ind w:left="5400" w:hanging="360"/>
      </w:pPr>
    </w:lvl>
    <w:lvl w:ilvl="7" w:tplc="A636E5AA">
      <w:start w:val="1"/>
      <w:numFmt w:val="lowerLetter"/>
      <w:lvlText w:val="%8."/>
      <w:lvlJc w:val="left"/>
      <w:pPr>
        <w:ind w:left="6120" w:hanging="360"/>
      </w:pPr>
    </w:lvl>
    <w:lvl w:ilvl="8" w:tplc="47947C12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018"/>
    <w:rsid w:val="00700423"/>
    <w:rsid w:val="00A72E02"/>
    <w:rsid w:val="00AA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1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1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1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1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1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1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1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1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1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10"/>
    <w:uiPriority w:val="99"/>
    <w:unhideWhenUsed/>
    <w:pPr>
      <w:tabs>
        <w:tab w:val="center" w:pos="7143"/>
        <w:tab w:val="right" w:pos="14287"/>
      </w:tabs>
    </w:pPr>
  </w:style>
  <w:style w:type="paragraph" w:styleId="a4">
    <w:name w:val="footer"/>
    <w:basedOn w:val="a"/>
    <w:link w:val="12"/>
    <w:uiPriority w:val="99"/>
    <w:unhideWhenUsed/>
    <w:pPr>
      <w:tabs>
        <w:tab w:val="center" w:pos="7143"/>
        <w:tab w:val="right" w:pos="14287"/>
      </w:tabs>
    </w:pPr>
  </w:style>
  <w:style w:type="paragraph" w:styleId="a5">
    <w:name w:val="caption"/>
    <w:basedOn w:val="a"/>
    <w:next w:val="a"/>
    <w:link w:val="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21">
    <w:name w:val="Заголовок 2 Знак1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1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1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10">
    <w:name w:val="Верхний колонтитул Знак1"/>
    <w:basedOn w:val="a0"/>
    <w:link w:val="a3"/>
    <w:uiPriority w:val="99"/>
  </w:style>
  <w:style w:type="character" w:customStyle="1" w:styleId="12">
    <w:name w:val="Нижний колонтитул Знак1"/>
    <w:basedOn w:val="a0"/>
    <w:link w:val="a4"/>
    <w:uiPriority w:val="99"/>
  </w:style>
  <w:style w:type="character" w:customStyle="1" w:styleId="13">
    <w:name w:val="Название объекта Знак1"/>
    <w:basedOn w:val="a0"/>
    <w:link w:val="a5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customStyle="1" w:styleId="110">
    <w:name w:val="Заголовок 11"/>
    <w:basedOn w:val="a"/>
    <w:next w:val="a"/>
    <w:link w:val="14"/>
    <w:qFormat/>
    <w:pPr>
      <w:keepNext/>
      <w:jc w:val="center"/>
      <w:outlineLvl w:val="0"/>
    </w:pPr>
    <w:rPr>
      <w:b/>
      <w:sz w:val="28"/>
      <w:lang w:val="en-US" w:eastAsia="en-US"/>
    </w:rPr>
  </w:style>
  <w:style w:type="paragraph" w:customStyle="1" w:styleId="210">
    <w:name w:val="Заголовок 21"/>
    <w:basedOn w:val="a"/>
    <w:next w:val="a"/>
    <w:link w:val="20"/>
    <w:qFormat/>
    <w:pPr>
      <w:keepNext/>
      <w:jc w:val="center"/>
      <w:outlineLvl w:val="1"/>
    </w:pPr>
    <w:rPr>
      <w:sz w:val="24"/>
    </w:rPr>
  </w:style>
  <w:style w:type="paragraph" w:customStyle="1" w:styleId="310">
    <w:name w:val="Заголовок 31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0">
    <w:name w:val="Заголовок 41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0">
    <w:name w:val="Заголовок 51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0">
    <w:name w:val="Заголовок 61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0">
    <w:name w:val="Заголовок 71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0">
    <w:name w:val="Заголовок 81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0">
    <w:name w:val="Заголовок 91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1">
    <w:name w:val="Заголовок 1 Знак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1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1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1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1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1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1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1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10"/>
    <w:uiPriority w:val="9"/>
    <w:rPr>
      <w:rFonts w:ascii="Arial" w:eastAsia="Arial" w:hAnsi="Arial" w:cs="Arial"/>
      <w:i/>
      <w:iCs/>
      <w:sz w:val="21"/>
      <w:szCs w:val="21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styleId="a7">
    <w:name w:val="No Spacing"/>
    <w:uiPriority w:val="1"/>
    <w:qFormat/>
    <w:rPr>
      <w:lang w:eastAsia="ru-RU"/>
    </w:rPr>
  </w:style>
  <w:style w:type="paragraph" w:styleId="a8">
    <w:name w:val="Title"/>
    <w:basedOn w:val="a"/>
    <w:next w:val="a"/>
    <w:link w:val="a9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link w:val="a8"/>
    <w:uiPriority w:val="10"/>
    <w:rPr>
      <w:sz w:val="48"/>
      <w:szCs w:val="48"/>
    </w:rPr>
  </w:style>
  <w:style w:type="paragraph" w:styleId="aa">
    <w:name w:val="Subtitle"/>
    <w:basedOn w:val="a"/>
    <w:next w:val="a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link w:val="aa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c">
    <w:name w:val="Intense Quote"/>
    <w:basedOn w:val="a"/>
    <w:next w:val="a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paragraph" w:customStyle="1" w:styleId="15">
    <w:name w:val="Верхний колонтитул1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link w:val="15"/>
    <w:uiPriority w:val="99"/>
  </w:style>
  <w:style w:type="paragraph" w:customStyle="1" w:styleId="16">
    <w:name w:val="Нижний колонтитул1"/>
    <w:basedOn w:val="a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16"/>
    <w:uiPriority w:val="99"/>
  </w:style>
  <w:style w:type="paragraph" w:customStyle="1" w:styleId="17">
    <w:name w:val="Название объекта1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17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8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2">
    <w:name w:val="toc 6"/>
    <w:basedOn w:val="a"/>
    <w:next w:val="a"/>
    <w:uiPriority w:val="39"/>
    <w:unhideWhenUsed/>
    <w:pPr>
      <w:spacing w:after="57"/>
      <w:ind w:left="1417"/>
    </w:pPr>
  </w:style>
  <w:style w:type="paragraph" w:styleId="72">
    <w:name w:val="toc 7"/>
    <w:basedOn w:val="a"/>
    <w:next w:val="a"/>
    <w:uiPriority w:val="39"/>
    <w:unhideWhenUsed/>
    <w:pPr>
      <w:spacing w:after="57"/>
      <w:ind w:left="1701"/>
    </w:pPr>
  </w:style>
  <w:style w:type="paragraph" w:styleId="82">
    <w:name w:val="toc 8"/>
    <w:basedOn w:val="a"/>
    <w:next w:val="a"/>
    <w:uiPriority w:val="39"/>
    <w:unhideWhenUsed/>
    <w:pPr>
      <w:spacing w:after="57"/>
      <w:ind w:left="1984"/>
    </w:pPr>
  </w:style>
  <w:style w:type="paragraph" w:styleId="92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rPr>
      <w:sz w:val="28"/>
    </w:rPr>
  </w:style>
  <w:style w:type="character" w:styleId="afc">
    <w:name w:val="page number"/>
    <w:basedOn w:val="a0"/>
  </w:style>
  <w:style w:type="paragraph" w:styleId="afd">
    <w:name w:val="Balloon Text"/>
    <w:basedOn w:val="a"/>
    <w:link w:val="afe"/>
    <w:rPr>
      <w:rFonts w:ascii="Tahoma" w:hAnsi="Tahoma"/>
      <w:sz w:val="16"/>
      <w:szCs w:val="16"/>
      <w:lang w:val="en-US" w:eastAsia="en-US"/>
    </w:rPr>
  </w:style>
  <w:style w:type="character" w:customStyle="1" w:styleId="afe">
    <w:name w:val="Текст выноски Знак"/>
    <w:link w:val="afd"/>
    <w:rPr>
      <w:rFonts w:ascii="Tahoma" w:hAnsi="Tahoma" w:cs="Tahoma"/>
      <w:sz w:val="16"/>
      <w:szCs w:val="16"/>
    </w:rPr>
  </w:style>
  <w:style w:type="character" w:styleId="aff">
    <w:name w:val="Emphasis"/>
    <w:uiPriority w:val="20"/>
    <w:qFormat/>
    <w:rPr>
      <w:i/>
      <w:iCs/>
    </w:rPr>
  </w:style>
  <w:style w:type="paragraph" w:customStyle="1" w:styleId="ConsPlusNormal">
    <w:name w:val="ConsPlusNormal"/>
    <w:pPr>
      <w:widowControl w:val="0"/>
    </w:pPr>
    <w:rPr>
      <w:sz w:val="28"/>
      <w:lang w:eastAsia="ru-RU"/>
    </w:rPr>
  </w:style>
  <w:style w:type="paragraph" w:customStyle="1" w:styleId="19">
    <w:name w:val="Обычный (веб)1"/>
    <w:basedOn w:val="a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Tempora LGC Uni" w:hAnsi="Tempora LGC Uni" w:cs="Tempora LGC Uni"/>
      <w:color w:val="000000"/>
      <w:sz w:val="24"/>
    </w:rPr>
  </w:style>
  <w:style w:type="character" w:customStyle="1" w:styleId="14">
    <w:name w:val="Заголовок 1 Знак"/>
    <w:link w:val="110"/>
    <w:rPr>
      <w:b/>
      <w:sz w:val="28"/>
    </w:rPr>
  </w:style>
  <w:style w:type="table" w:customStyle="1" w:styleId="ListTable6Colorful-Accent4">
    <w:name w:val="List Table 6 Colorful - Accent 4"/>
    <w:link w:val="Default"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ListTable6Colorful-Accent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000000"/>
      <w:sz w:val="24"/>
      <w:szCs w:val="24"/>
      <w:lang w:eastAsia="ru-RU"/>
    </w:rPr>
  </w:style>
  <w:style w:type="paragraph" w:customStyle="1" w:styleId="Caption1">
    <w:name w:val="Caption1"/>
    <w:basedOn w:val="a"/>
    <w:next w:val="a"/>
    <w:qFormat/>
    <w:pPr>
      <w:widowControl w:val="0"/>
      <w:spacing w:line="360" w:lineRule="exact"/>
      <w:jc w:val="center"/>
    </w:pPr>
    <w:rPr>
      <w:b/>
      <w:sz w:val="32"/>
      <w:lang w:eastAsia="zh-CN"/>
    </w:rPr>
  </w:style>
  <w:style w:type="paragraph" w:styleId="aff0">
    <w:name w:val="Normal (Web)"/>
    <w:basedOn w:val="a"/>
    <w:uiPriority w:val="99"/>
    <w:unhideWhenUsed/>
    <w:rPr>
      <w:sz w:val="24"/>
      <w:szCs w:val="24"/>
    </w:rPr>
  </w:style>
  <w:style w:type="character" w:styleId="aff1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</w:style>
  <w:style w:type="character" w:customStyle="1" w:styleId="aff3">
    <w:name w:val="Текст примечания Знак"/>
    <w:basedOn w:val="a0"/>
    <w:link w:val="aff2"/>
    <w:uiPriority w:val="99"/>
    <w:semiHidden/>
    <w:rPr>
      <w:lang w:eastAsia="ru-RU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Pr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1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1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1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1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1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1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1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1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1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10"/>
    <w:uiPriority w:val="99"/>
    <w:unhideWhenUsed/>
    <w:pPr>
      <w:tabs>
        <w:tab w:val="center" w:pos="7143"/>
        <w:tab w:val="right" w:pos="14287"/>
      </w:tabs>
    </w:pPr>
  </w:style>
  <w:style w:type="paragraph" w:styleId="a4">
    <w:name w:val="footer"/>
    <w:basedOn w:val="a"/>
    <w:link w:val="12"/>
    <w:uiPriority w:val="99"/>
    <w:unhideWhenUsed/>
    <w:pPr>
      <w:tabs>
        <w:tab w:val="center" w:pos="7143"/>
        <w:tab w:val="right" w:pos="14287"/>
      </w:tabs>
    </w:pPr>
  </w:style>
  <w:style w:type="paragraph" w:styleId="a5">
    <w:name w:val="caption"/>
    <w:basedOn w:val="a"/>
    <w:next w:val="a"/>
    <w:link w:val="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21">
    <w:name w:val="Заголовок 2 Знак1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1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1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10">
    <w:name w:val="Верхний колонтитул Знак1"/>
    <w:basedOn w:val="a0"/>
    <w:link w:val="a3"/>
    <w:uiPriority w:val="99"/>
  </w:style>
  <w:style w:type="character" w:customStyle="1" w:styleId="12">
    <w:name w:val="Нижний колонтитул Знак1"/>
    <w:basedOn w:val="a0"/>
    <w:link w:val="a4"/>
    <w:uiPriority w:val="99"/>
  </w:style>
  <w:style w:type="character" w:customStyle="1" w:styleId="13">
    <w:name w:val="Название объекта Знак1"/>
    <w:basedOn w:val="a0"/>
    <w:link w:val="a5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customStyle="1" w:styleId="110">
    <w:name w:val="Заголовок 11"/>
    <w:basedOn w:val="a"/>
    <w:next w:val="a"/>
    <w:link w:val="14"/>
    <w:qFormat/>
    <w:pPr>
      <w:keepNext/>
      <w:jc w:val="center"/>
      <w:outlineLvl w:val="0"/>
    </w:pPr>
    <w:rPr>
      <w:b/>
      <w:sz w:val="28"/>
      <w:lang w:val="en-US" w:eastAsia="en-US"/>
    </w:rPr>
  </w:style>
  <w:style w:type="paragraph" w:customStyle="1" w:styleId="210">
    <w:name w:val="Заголовок 21"/>
    <w:basedOn w:val="a"/>
    <w:next w:val="a"/>
    <w:link w:val="20"/>
    <w:qFormat/>
    <w:pPr>
      <w:keepNext/>
      <w:jc w:val="center"/>
      <w:outlineLvl w:val="1"/>
    </w:pPr>
    <w:rPr>
      <w:sz w:val="24"/>
    </w:rPr>
  </w:style>
  <w:style w:type="paragraph" w:customStyle="1" w:styleId="310">
    <w:name w:val="Заголовок 31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0">
    <w:name w:val="Заголовок 41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0">
    <w:name w:val="Заголовок 51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0">
    <w:name w:val="Заголовок 61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0">
    <w:name w:val="Заголовок 71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0">
    <w:name w:val="Заголовок 81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0">
    <w:name w:val="Заголовок 91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1">
    <w:name w:val="Заголовок 1 Знак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1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1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1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1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1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1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1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10"/>
    <w:uiPriority w:val="9"/>
    <w:rPr>
      <w:rFonts w:ascii="Arial" w:eastAsia="Arial" w:hAnsi="Arial" w:cs="Arial"/>
      <w:i/>
      <w:iCs/>
      <w:sz w:val="21"/>
      <w:szCs w:val="21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styleId="a7">
    <w:name w:val="No Spacing"/>
    <w:uiPriority w:val="1"/>
    <w:qFormat/>
    <w:rPr>
      <w:lang w:eastAsia="ru-RU"/>
    </w:rPr>
  </w:style>
  <w:style w:type="paragraph" w:styleId="a8">
    <w:name w:val="Title"/>
    <w:basedOn w:val="a"/>
    <w:next w:val="a"/>
    <w:link w:val="a9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link w:val="a8"/>
    <w:uiPriority w:val="10"/>
    <w:rPr>
      <w:sz w:val="48"/>
      <w:szCs w:val="48"/>
    </w:rPr>
  </w:style>
  <w:style w:type="paragraph" w:styleId="aa">
    <w:name w:val="Subtitle"/>
    <w:basedOn w:val="a"/>
    <w:next w:val="a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link w:val="aa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c">
    <w:name w:val="Intense Quote"/>
    <w:basedOn w:val="a"/>
    <w:next w:val="a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paragraph" w:customStyle="1" w:styleId="15">
    <w:name w:val="Верхний колонтитул1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link w:val="15"/>
    <w:uiPriority w:val="99"/>
  </w:style>
  <w:style w:type="paragraph" w:customStyle="1" w:styleId="16">
    <w:name w:val="Нижний колонтитул1"/>
    <w:basedOn w:val="a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16"/>
    <w:uiPriority w:val="99"/>
  </w:style>
  <w:style w:type="paragraph" w:customStyle="1" w:styleId="17">
    <w:name w:val="Название объекта1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17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8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2">
    <w:name w:val="toc 6"/>
    <w:basedOn w:val="a"/>
    <w:next w:val="a"/>
    <w:uiPriority w:val="39"/>
    <w:unhideWhenUsed/>
    <w:pPr>
      <w:spacing w:after="57"/>
      <w:ind w:left="1417"/>
    </w:pPr>
  </w:style>
  <w:style w:type="paragraph" w:styleId="72">
    <w:name w:val="toc 7"/>
    <w:basedOn w:val="a"/>
    <w:next w:val="a"/>
    <w:uiPriority w:val="39"/>
    <w:unhideWhenUsed/>
    <w:pPr>
      <w:spacing w:after="57"/>
      <w:ind w:left="1701"/>
    </w:pPr>
  </w:style>
  <w:style w:type="paragraph" w:styleId="82">
    <w:name w:val="toc 8"/>
    <w:basedOn w:val="a"/>
    <w:next w:val="a"/>
    <w:uiPriority w:val="39"/>
    <w:unhideWhenUsed/>
    <w:pPr>
      <w:spacing w:after="57"/>
      <w:ind w:left="1984"/>
    </w:pPr>
  </w:style>
  <w:style w:type="paragraph" w:styleId="92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rPr>
      <w:sz w:val="28"/>
    </w:rPr>
  </w:style>
  <w:style w:type="character" w:styleId="afc">
    <w:name w:val="page number"/>
    <w:basedOn w:val="a0"/>
  </w:style>
  <w:style w:type="paragraph" w:styleId="afd">
    <w:name w:val="Balloon Text"/>
    <w:basedOn w:val="a"/>
    <w:link w:val="afe"/>
    <w:rPr>
      <w:rFonts w:ascii="Tahoma" w:hAnsi="Tahoma"/>
      <w:sz w:val="16"/>
      <w:szCs w:val="16"/>
      <w:lang w:val="en-US" w:eastAsia="en-US"/>
    </w:rPr>
  </w:style>
  <w:style w:type="character" w:customStyle="1" w:styleId="afe">
    <w:name w:val="Текст выноски Знак"/>
    <w:link w:val="afd"/>
    <w:rPr>
      <w:rFonts w:ascii="Tahoma" w:hAnsi="Tahoma" w:cs="Tahoma"/>
      <w:sz w:val="16"/>
      <w:szCs w:val="16"/>
    </w:rPr>
  </w:style>
  <w:style w:type="character" w:styleId="aff">
    <w:name w:val="Emphasis"/>
    <w:uiPriority w:val="20"/>
    <w:qFormat/>
    <w:rPr>
      <w:i/>
      <w:iCs/>
    </w:rPr>
  </w:style>
  <w:style w:type="paragraph" w:customStyle="1" w:styleId="ConsPlusNormal">
    <w:name w:val="ConsPlusNormal"/>
    <w:pPr>
      <w:widowControl w:val="0"/>
    </w:pPr>
    <w:rPr>
      <w:sz w:val="28"/>
      <w:lang w:eastAsia="ru-RU"/>
    </w:rPr>
  </w:style>
  <w:style w:type="paragraph" w:customStyle="1" w:styleId="19">
    <w:name w:val="Обычный (веб)1"/>
    <w:basedOn w:val="a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Tempora LGC Uni" w:hAnsi="Tempora LGC Uni" w:cs="Tempora LGC Uni"/>
      <w:color w:val="000000"/>
      <w:sz w:val="24"/>
    </w:rPr>
  </w:style>
  <w:style w:type="character" w:customStyle="1" w:styleId="14">
    <w:name w:val="Заголовок 1 Знак"/>
    <w:link w:val="110"/>
    <w:rPr>
      <w:b/>
      <w:sz w:val="28"/>
    </w:rPr>
  </w:style>
  <w:style w:type="table" w:customStyle="1" w:styleId="ListTable6Colorful-Accent4">
    <w:name w:val="List Table 6 Colorful - Accent 4"/>
    <w:link w:val="Default"/>
    <w:uiPriority w:val="9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ListTable6Colorful-Accent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000000"/>
      <w:sz w:val="24"/>
      <w:szCs w:val="24"/>
      <w:lang w:eastAsia="ru-RU"/>
    </w:rPr>
  </w:style>
  <w:style w:type="paragraph" w:customStyle="1" w:styleId="Caption1">
    <w:name w:val="Caption1"/>
    <w:basedOn w:val="a"/>
    <w:next w:val="a"/>
    <w:qFormat/>
    <w:pPr>
      <w:widowControl w:val="0"/>
      <w:spacing w:line="360" w:lineRule="exact"/>
      <w:jc w:val="center"/>
    </w:pPr>
    <w:rPr>
      <w:b/>
      <w:sz w:val="32"/>
      <w:lang w:eastAsia="zh-CN"/>
    </w:rPr>
  </w:style>
  <w:style w:type="paragraph" w:styleId="aff0">
    <w:name w:val="Normal (Web)"/>
    <w:basedOn w:val="a"/>
    <w:uiPriority w:val="99"/>
    <w:unhideWhenUsed/>
    <w:rPr>
      <w:sz w:val="24"/>
      <w:szCs w:val="24"/>
    </w:rPr>
  </w:style>
  <w:style w:type="character" w:styleId="aff1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</w:style>
  <w:style w:type="character" w:customStyle="1" w:styleId="aff3">
    <w:name w:val="Текст примечания Знак"/>
    <w:basedOn w:val="a0"/>
    <w:link w:val="aff2"/>
    <w:uiPriority w:val="99"/>
    <w:semiHidden/>
    <w:rPr>
      <w:lang w:eastAsia="ru-RU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B16D41C8C950D0091338C0C7DDD7CD811EBED6485A0BC089993BE11B0B69AA9EBEB55348781B49108266042F2P745F" TargetMode="External"/><Relationship Id="rId18" Type="http://schemas.openxmlformats.org/officeDocument/2006/relationships/hyperlink" Target="consultantplus://offline/ref=C41632C412696B81FFD3EC343D3AA9F3349E21309768C2887D3A15D05E1B2CE9AC161677919F1BDFA645DE8DFCA8469CBD1A737B45498B8DBCB9D71951o5I" TargetMode="External"/><Relationship Id="rId26" Type="http://schemas.openxmlformats.org/officeDocument/2006/relationships/hyperlink" Target="https://login.consultant.ru/link/?req=doc&amp;base=RLAW368&amp;n=196762&amp;dst=100756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C41632C412696B81FFD3EC343D3AA9F3349E21309769CF8D793D15D05E1B2CE9AC161677919F1BDFA645DE8DFCA8469CBD1A737B45498B8DBCB9D71951o5I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10.png"/><Relationship Id="rId17" Type="http://schemas.openxmlformats.org/officeDocument/2006/relationships/hyperlink" Target="consultantplus://offline/ref=C41632C412696B81FFD3EC343D3AA9F3349E2130976AC18E773B15D05E1B2CE9AC161677919F1BDFA645DE8DFCA8469CBD1A737B45498B8DBCB9D71951o5I" TargetMode="External"/><Relationship Id="rId25" Type="http://schemas.openxmlformats.org/officeDocument/2006/relationships/hyperlink" Target="https://login.consultant.ru/link/?req=doc&amp;base=RLAW368&amp;n=192073&amp;dst=100005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41632C412696B81FFD3EC343D3AA9F3349E2130976AC58F7F3D15D05E1B2CE9AC161677919F1BDFA645DE8DFCA8469CBD1A737B45498B8DBCB9D71951o5I" TargetMode="External"/><Relationship Id="rId20" Type="http://schemas.openxmlformats.org/officeDocument/2006/relationships/hyperlink" Target="consultantplus://offline/ref=C41632C412696B81FFD3EC343D3AA9F3349E21309769C18D7C3815D05E1B2CE9AC161677919F1BDFA645DE8DFCA8469CBD1A737B45498B8DBCB9D71951o5I" TargetMode="External"/><Relationship Id="rId29" Type="http://schemas.openxmlformats.org/officeDocument/2006/relationships/hyperlink" Target="http://www.gorodper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consultantplus://offline/ref=C41632C412696B81FFD3EC343D3AA9F3349E21309768C28E793E15D05E1B2CE9AC161677919F1BDFA645DE8DFCA8469CBD1A737B45498B8DBCB9D71951o5I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41632C412696B81FFD3EC343D3AA9F3349E2130976BCE867A3A15D05E1B2CE9AC161677919F1BDFA645DE8DFCA8469CBD1A737B45498B8DBCB9D71951o5I" TargetMode="External"/><Relationship Id="rId23" Type="http://schemas.openxmlformats.org/officeDocument/2006/relationships/hyperlink" Target="consultantplus://offline/ref=C41632C412696B81FFD3EC343D3AA9F3349E21309768C28D7D3415D05E1B2CE9AC161677919F1BDFA645DE8DFCA8469CBD1A737B45498B8DBCB9D71951o5I" TargetMode="External"/><Relationship Id="rId28" Type="http://schemas.openxmlformats.org/officeDocument/2006/relationships/image" Target="media/image20.png"/><Relationship Id="rId19" Type="http://schemas.openxmlformats.org/officeDocument/2006/relationships/hyperlink" Target="consultantplus://offline/ref=C41632C412696B81FFD3EC343D3AA9F3349E21309768C2887D3E15D05E1B2CE9AC161677919F1BDFA645DE8DFCA8469CBD1A737B45498B8DBCB9D71951o5I" TargetMode="External"/><Relationship Id="rId31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2B16D41C8C950D00913392016BB121D31AE3B36B83A5B357C1C3B846EFE69CFCB9AB0B6DC6C4A79109386240F1773F8637C560A5D486937768394FD1PC46F" TargetMode="External"/><Relationship Id="rId22" Type="http://schemas.openxmlformats.org/officeDocument/2006/relationships/hyperlink" Target="consultantplus://offline/ref=C41632C412696B81FFD3EC343D3AA9F3349E21309768C2887D3915D05E1B2CE9AC161677919F1BDFA645DE8DFCA8469CBD1A737B45498B8DBCB9D71951o5I" TargetMode="External"/><Relationship Id="rId27" Type="http://schemas.openxmlformats.org/officeDocument/2006/relationships/image" Target="media/image2.pn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2D305-CD55-4ADD-A3FA-B41366C3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2262</Words>
  <Characters>12899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Голубева Анна Игоревна</dc:creator>
  <cp:lastModifiedBy>Щур Татьяна Владимировна</cp:lastModifiedBy>
  <cp:revision>2</cp:revision>
  <dcterms:created xsi:type="dcterms:W3CDTF">2025-10-08T04:15:00Z</dcterms:created>
  <dcterms:modified xsi:type="dcterms:W3CDTF">2025-10-08T04:15:00Z</dcterms:modified>
  <cp:version>1048576</cp:version>
</cp:coreProperties>
</file>